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楚雄州“十四五”综合交通运输</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发展规划中期评估报告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规划实施总体进展情况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（一）主要指标完成及预期情况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楚雄州“十四五”综合交通发展规划实施以来，全州交通运输系统按照人民满意、保障有力、全省前列的交通强州建设总目标，进一步加快建设高速公路网上的楚雄、滇中城市群轨道上的楚雄、“四好农村路”示范区，着力打造西部陆海新通道楚雄枢纽。全州综合交通投资保持高位运行，综合交通网络不断加密，快速交通网加快构建，基础服务网持续拓展，交通物流保通保畅成效显著，绿色低碳发展取得积极成效，综合交通发展不断取得新突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以来，综合交通建设完成固定资产投资628.8亿元，是“十三五”的1.8倍。新建成通车昆明至楚雄广通、楚雄广通至大理、玉溪至楚雄、永仁至大姚高速公路，广大铁路电气化改造完成，楚雄民用机场预可研已获批，乡镇通三级路、30户以上自然村通硬化路有序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rPr>
        <w:t>2023年6月底，全州公路通车里程24135公里，较“十三五”末增加2310公里；其中高速公路773.4公里，增加227公里，10县市全部通高速公路；铁路运营里程602.55公里，已全部实现电气化，其中通行动车里程265公里；水运通航里程201公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指标中，高速公路优等路率、普通国省道优良路率、农村公路优良中等路率等已提前达到了“十四五”规划目标，公路通车里程、高速公路通车里程、铁路电气化率、通三级公路的乡镇比例、30户以上自然村通硬化路率等，都达到了预期目标，可确保完成“十四五”规划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（二）主要任务完成情况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综合交通运输网保障能力进一步提升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以县域高速公路“能通全通”“互联互通”等为代表的一批重大交通工程加快实施，基本形成以昆楚大、成昆综合运输大通道为主，内畅外通的综合交通网络。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（1）高速公路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县域高速公路“能通全通”全面收官、 “互联互通”工程加快建设。“十四五”以来高速公路建设累计完成投资483亿元，横跨东西的昆楚大高速公路第二通道建成通车，北接四川南至中越边境的永金高速永仁至双柏段已全部建成，滇中环线楚雄境内已全部建成通车，州域内初步已形成“两纵四横”的高速公路网。新建成昆明岷山至楚雄广通、楚雄至大理、玉溪至楚雄、永仁至大姚4条高速公路，新增进出州通道3个，新增通高速公路乡镇12个。新开工楚雄市东南绕城、牟元、姚南、元大4个项目，楚景、大攀高速公路已获得工可批复，正在开展勘察设计等工作，双元、武禄双项目已完成工可编制，项目前期工作持续推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（2）铁路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既有广大铁路设备补强及电气化改造工程全面完工，州内铁路实现全面电气化。铁路项目谋划及前期工作积极推进，广通站扩能改造、成昆线广通至昆明段复线改造工程前期工作迅速推进，楚雄至临沧、中老泰铁路楚雄联络线（楚雄至玉溪段）前期研究得到国家、省重视，正积极争取纳入全国铁路网规划。</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（3）民航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楚雄民用机场前期工作实现重大突破，2022年11月项目预可研获得国务院和有关部委批复，2023年5月可研通过行业审查。目前，正在抓紧完善工可，同步开展开展设计等工作。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（4）普通国省道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320、G108、G227、G357共4条普通国道和S215、S216、S217、S218、S220、S224、S324共7条普通省道国土空间规划全面完成。G357鄂嘉至景太大桥段已完成工可编制，其它前期工作正在配合省国省道项目指挥部积极推进中。S215勤丰段、S324元谋至大姚至祥云界前期工作正在有序推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（5）农村公路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好农村路”建设深入开展，正有序推进乡镇通三级路、30户以上自然村通硬化路、村道安防工程、危桥改造等项目。共计实施乡镇通三级路399公里、30户以上自然村通硬化路2984公里，安全生命防护工程1627公里、桥梁改造83座，楚雄市、元谋县被评为“四好农村公路”全国示范县。</w:t>
      </w:r>
      <w:r>
        <w:rPr>
          <w:rFonts w:hint="eastAsia"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2022年6月底，乡镇通三级路率53.4%，较2020年末提升12.4个百分点，新增13个乡镇通三级路；30户以上自然村通硬化路率63.12%，较2020年末提升16.12个百分点，新增944个村通硬化路。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（6）水运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金沙江（楚雄段）航运发展规划进一步完善，乌东德库区高等级航道项目正在推进，“一港六码”头水运基础设施项目全面推进，永兴、湾碧、龙街码头等前期工作基本完成准备启动实施。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（7）邮政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邮政普遍服务和机要通信服务设施更加完善，邮政基础设施建设成效显著，公共服务均等化程度提高。全州邮政普遍服务各类网点共134处，全州1099个建制村全部实现周通邮频次3次以上。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络布局进一步完善，干线网络层级不断优化，干线枢纽与支线网络的衔接效能持续提升。建设有昆明-楚雄、昆明-武定-元谋-永仁、昆明-南华-姚安-大姚、楚雄-大理等主要干线网络。楚雄州快递物流园区建设积极推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成城乡普惠、网点稳定的城乡基础网络，实现邮政城乡服务网络无缝衔接。邮政快递网络布局更加完善，末端网络布局合理，智能化、集约化程度不断提升，城乡和区域间邮政业发展水平差距逐渐缩小。全州建设县级自动化共配分拨中心5个，全面巩固楚雄州乡镇网点覆盖率100%，建制村通邮率100%工作成效。全州共有已备案快递末端网点165个。中通持续推广快递超市项目，韵达加大菜鸟驿站铺设力度，快递末端体系建设加快推进，楚雄市区及部分县市布设智能快件箱68组。建制村快递服务通达率达到90%，有效夯实寄递服务基础网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县级分拨中心、乡镇递送节点和村级公共服务点为支撑的农村服务网络“三级体系”持续优化。建设县级分拨中心32个，乡镇物流节点210个，在1099个建制村中，建设有农村寄递物流服务站点775个，其中村级电商快递物流服务站点499个，交快合作村级站点153个，快快合作村级站点121个，邮快合作村级站点13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rPr>
        <w:t>客货运综合交通枢纽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以楚雄市为核心，南华、牟定、广通为节点，禄丰、元谋、永仁为重要支点的综合交通枢纽体系持续完善，楚雄机场、楚雄高铁站客运枢纽正在谋划，广通、勤丰泽润里等公铁货运枢纽等正在推进实施。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2.运输服务转型升级，服务质量持续提升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州公路、铁路运输保持平稳有序健康发展，多样化运输服务为旅客出行提供了更加优质的服务体验，交通运输物流保畅通成效显著。坚决落实了疫情防控各阶段要求，因时因势调整优化交通物流保通保畅各项举措，全力保障了物流供应链稳定畅通，坚决完成了交通领域“内防输入、外防输出”目标。绿美交通建设持续提升出行环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铁路运输越发便捷</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目前，楚雄站日均通行列车90趟次，新增加楚雄直达临沧、保山、红河车次，楚雄乘车可到达广西、广东、四川、重庆、湖南等省区，铁路运输已成为旅客中远途出行的首选。</w:t>
      </w:r>
      <w:r>
        <w:rPr>
          <w:rFonts w:hint="default" w:ascii="Times New Roman" w:hAnsi="Times New Roman" w:eastAsia="方正仿宋_GBK" w:cs="Times New Roman"/>
          <w:sz w:val="32"/>
          <w:szCs w:val="32"/>
          <w:lang w:eastAsia="zh-CN"/>
        </w:rPr>
        <w:t>铁路货运……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（2）道路运输健康发展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道路客运方面，2021年至2023年6月，全州道路运输客运量 </w:t>
      </w:r>
      <w:r>
        <w:rPr>
          <w:rFonts w:hint="default" w:ascii="Times New Roman" w:hAnsi="Times New Roman" w:eastAsia="方正仿宋_GBK" w:cs="Times New Roman"/>
          <w:sz w:val="32"/>
          <w:szCs w:val="32"/>
          <w:lang w:val="en-US" w:eastAsia="zh-CN"/>
        </w:rPr>
        <w:t>3628.01</w:t>
      </w:r>
      <w:r>
        <w:rPr>
          <w:rFonts w:hint="default" w:ascii="Times New Roman" w:hAnsi="Times New Roman" w:eastAsia="方正仿宋_GBK" w:cs="Times New Roman"/>
          <w:sz w:val="32"/>
          <w:szCs w:val="32"/>
        </w:rPr>
        <w:t>万人次，全州道路运输客运总周转量</w:t>
      </w:r>
      <w:r>
        <w:rPr>
          <w:rFonts w:hint="default" w:ascii="Times New Roman" w:hAnsi="Times New Roman" w:eastAsia="方正仿宋_GBK" w:cs="Times New Roman"/>
          <w:sz w:val="32"/>
          <w:szCs w:val="32"/>
          <w:lang w:val="en-US" w:eastAsia="zh-CN"/>
        </w:rPr>
        <w:t>319026.77</w:t>
      </w:r>
      <w:r>
        <w:rPr>
          <w:rFonts w:hint="default" w:ascii="Times New Roman" w:hAnsi="Times New Roman" w:eastAsia="方正仿宋_GBK" w:cs="Times New Roman"/>
          <w:sz w:val="32"/>
          <w:szCs w:val="32"/>
        </w:rPr>
        <w:t>万人公里。全州有客运站（场）74个，其中：一级6个、二级6个、三级2个、便捷车站60个，农村客运招呼站362个。共有道路客运经营业户27户，客运车辆782辆，经营客运班线498条。道路客运服务水平不断提升。定制客运取得新突破。充分发挥定制客运机动灵活的优势，开通3条定制客运线路，极大地方便和满足了群众个性化乘车需求。电子客票推广成效明显。道路客运电子客票建设推广成效明显，全州已有16个客运站和3条定制客运线路均开通电子客票服务。十四五期间，已累计售出道路客运电子客票959467张，标志着楚雄州道路客运步入电子化、无纸化新时代。城市公交和城乡公交一体化发展迅速。聚焦农村客运公交化改造、农村客货邮融合发展、农村运输信息化服务等，持续推进城乡交通运输基础设施、客运服务、货运与物流服务一体化建设，不断拓展、优化公交线网布局，推动毗邻地区班线公交化延伸改造，快城乡公共交通服务均等化发展。全州共开通15条城际公交线路，投入69辆公交车营运；开通城乡公交线路147条，投入车辆387辆，城乡公交覆盖46个乡镇436个村（社区），覆盖人口达115.6万人。2022年，省交通运输厅对我州2021年城乡一体化发展评价综合评分93.43分，评价等级为5A级，在全省16个州市中排名第二。农村客运“运营好”向高质量发展。以楚雄市太阳女集团乡村物流集散中心全国第二批农村物流服务品牌典型示范为引领，将“农村客运+农村物流”发展模式向各县市推广落实，基本建立了“县、乡、村”三级闭环客运物流运输系统，打通了工业品下乡“最后一公里”、农产品进城“最初一公里”和“快递分拣服务进村入户”通道，努力打造“一站多能、一车多运、一网多用、深度融合”的客货邮快城乡物流配送等功能集约、便利高效的运输模式。截至2023年6月，全州101个乡镇1105村（社区）通班车率和建制村通班车率均达到100%。全州共有23户农村客运企业，开通农村客运班线357条，共有887辆农村客运车辆投入运营。全州十县市共建立客货邮服务站点179个，其中县级站点6个，乡镇站点38个，村级站点135个。实现综合功能的县级客运站6个，占所有县级客运站数量比例60%，实现综合功能的乡级客运站9个，占所有乡级客运站数量比例14%。覆盖农村乡镇人口59.5万人，利用客车车辆派送货物日均1.5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道路货运方面，2021年至2023年6月，全州道路运输货运量为11034.5万吨，全州道路运输货物运输总周转量2321522.67万吨公里，2022年全州道路运输货运量较2020年增长25.93%，道路运输货运周转量增长46.28%。</w:t>
      </w:r>
      <w:r>
        <w:rPr>
          <w:rFonts w:hint="eastAsia"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2023年6月，全州共有货运经营业户7681户，车辆13197辆。其中：普通货物运输业户7672户车辆11915辆、道路危险货物运输企业9户车辆1282辆。50辆规模以上企业9户、50辆规模以下企业389户。全州取得国际道路运输经营资质备案的企业有8户车辆357辆。在营运普通运输从业人员26826人、危货运输从业人员3631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客运方面：全州有城市公交企业15户，公交车辆869辆。其中：城市公交449辆、城际公交54辆、城乡公交366辆。公交运营线路245条，其中：城市公交线路88条，城际公交15条，城乡公交线路147条，公交车从业人员1076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租汽车及网约车方面：全州拥有城市巡游出租汽车企业14户，巡游出租汽车1115辆，巡游出租汽车从业人员1348人；全州共许可网约车经营业户43户，归属平台14个，共核发《网约车运输证》1360辆，核发《网约车驾驶员证》3902本。</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（3）邮政服务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邮政行业寄递业务量累计完成5198.38万件，同比增长13.45%。全州邮政行业业务收入（不包括邮政储蓄银行直接营业收入）累计完成4.11亿元，同比增长10.81%。同期，全州快递投递业务量达到9360万件，年均增速达7.5%。全州邮政普遍服务进一步达标升标，快递服务时效和能力进一步提升，快件丢失、损坏情况大大减少；邮政普遍服务和快递服务满意度逐步提升。快件延误率、损毁率、丢失率降低到1%以下；用户申诉受理率和用户申诉处理满意率达到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智慧交通、</w:t>
      </w:r>
      <w:r>
        <w:rPr>
          <w:rFonts w:hint="default" w:ascii="Times New Roman" w:hAnsi="Times New Roman" w:eastAsia="方正仿宋_GBK" w:cs="Times New Roman"/>
          <w:b/>
          <w:bCs/>
          <w:sz w:val="32"/>
          <w:szCs w:val="32"/>
          <w:lang w:eastAsia="zh-CN"/>
        </w:rPr>
        <w:t>绿色交通、平安交通持续发展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rPr>
        <w:t>“互联网+”助力行业发展。</w:t>
      </w:r>
      <w:r>
        <w:rPr>
          <w:rFonts w:hint="default" w:ascii="Times New Roman" w:hAnsi="Times New Roman" w:eastAsia="方正仿宋_GBK" w:cs="Times New Roman"/>
          <w:sz w:val="32"/>
          <w:szCs w:val="32"/>
        </w:rPr>
        <w:t>全力推进道路运输事项“一网通办”，加快推广电子证照的应用，为从业者提供便利。共完成 “互联网+政务服务”事项</w:t>
      </w:r>
      <w:r>
        <w:rPr>
          <w:rFonts w:hint="default"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rPr>
        <w:t>件，办件量居全省交通行业内第一。</w:t>
      </w:r>
      <w:r>
        <w:rPr>
          <w:rFonts w:hint="default" w:ascii="Times New Roman" w:hAnsi="Times New Roman" w:eastAsia="方正仿宋_GBK" w:cs="Times New Roman"/>
          <w:sz w:val="32"/>
          <w:szCs w:val="32"/>
          <w:lang w:eastAsia="zh-CN"/>
        </w:rPr>
        <w:t>建成了</w:t>
      </w:r>
      <w:r>
        <w:rPr>
          <w:rFonts w:hint="default" w:ascii="Times New Roman" w:hAnsi="Times New Roman" w:eastAsia="方正仿宋_GBK" w:cs="Times New Roman"/>
          <w:sz w:val="32"/>
          <w:szCs w:val="32"/>
        </w:rPr>
        <w:t>楚雄州智慧交通综合信息化中心</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 xml:space="preserve"> “楚雄州政府道路运输安全监管信息化平台”</w:t>
      </w:r>
      <w:r>
        <w:rPr>
          <w:rFonts w:hint="default" w:ascii="Times New Roman" w:hAnsi="Times New Roman" w:eastAsia="方正仿宋_GBK" w:cs="Times New Roman"/>
          <w:sz w:val="32"/>
          <w:szCs w:val="32"/>
          <w:lang w:eastAsia="zh-CN"/>
        </w:rPr>
        <w:t>，利用平台</w:t>
      </w:r>
      <w:r>
        <w:rPr>
          <w:rFonts w:hint="default" w:ascii="Times New Roman" w:hAnsi="Times New Roman" w:eastAsia="方正仿宋_GBK" w:cs="Times New Roman"/>
          <w:sz w:val="32"/>
          <w:szCs w:val="32"/>
        </w:rPr>
        <w:t>加大对“两客一危一网一货”的动态监控监管，保障了对重点营运车辆的时时监督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“两客一危”及持证入网网约车车辆100%接入监测监管。一类、二类汽车维修企业电子健康档案覆盖率实现100%。驾驶培训与考试两个系统信息共享，实现了智能化监管。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二是道路运输节能减排不断深化。</w:t>
      </w:r>
      <w:r>
        <w:rPr>
          <w:rFonts w:hint="default" w:ascii="Times New Roman" w:hAnsi="Times New Roman" w:eastAsia="方正仿宋_GBK" w:cs="Times New Roman"/>
          <w:sz w:val="32"/>
          <w:szCs w:val="32"/>
          <w:lang w:eastAsia="zh-CN"/>
        </w:rPr>
        <w:t>加大城市公交、出租车辆新能源推广，</w:t>
      </w:r>
      <w:r>
        <w:rPr>
          <w:rFonts w:hint="eastAsia" w:ascii="Times New Roman" w:hAnsi="Times New Roman" w:eastAsia="方正仿宋_GBK" w:cs="Times New Roman"/>
          <w:sz w:val="32"/>
          <w:szCs w:val="32"/>
          <w:lang w:val="en-US" w:eastAsia="zh-CN"/>
        </w:rPr>
        <w:t>截至</w:t>
      </w:r>
      <w:bookmarkStart w:id="0" w:name="_GoBack"/>
      <w:bookmarkEnd w:id="0"/>
      <w:r>
        <w:rPr>
          <w:rFonts w:hint="default" w:ascii="Times New Roman" w:hAnsi="Times New Roman" w:eastAsia="方正仿宋_GBK" w:cs="Times New Roman"/>
          <w:sz w:val="32"/>
          <w:szCs w:val="32"/>
          <w:lang w:val="en-US" w:eastAsia="zh-CN"/>
        </w:rPr>
        <w:t>2023年6月底，全州公共客运车辆（含公交、出租）3163辆，其中新能源车辆2245辆，新能源车占比达71％，较2020年末上升14个百分点。</w:t>
      </w:r>
      <w:r>
        <w:rPr>
          <w:rFonts w:hint="default" w:ascii="Times New Roman" w:hAnsi="Times New Roman" w:eastAsia="方正仿宋_GBK" w:cs="Times New Roman"/>
          <w:sz w:val="32"/>
          <w:szCs w:val="32"/>
          <w:lang w:eastAsia="zh-CN"/>
        </w:rPr>
        <w:t>持续推进老旧柴油货车淘汰，全州注销柴油货车</w:t>
      </w:r>
      <w:r>
        <w:rPr>
          <w:rFonts w:hint="default" w:ascii="Times New Roman" w:hAnsi="Times New Roman" w:eastAsia="方正仿宋_GBK" w:cs="Times New Roman"/>
          <w:sz w:val="32"/>
          <w:szCs w:val="32"/>
          <w:lang w:val="en-US" w:eastAsia="zh-CN"/>
        </w:rPr>
        <w:t>XXX</w:t>
      </w:r>
      <w:r>
        <w:rPr>
          <w:rFonts w:hint="default" w:ascii="Times New Roman" w:hAnsi="Times New Roman" w:eastAsia="方正仿宋_GBK" w:cs="Times New Roman"/>
          <w:sz w:val="32"/>
          <w:szCs w:val="32"/>
          <w:lang w:eastAsia="zh-CN"/>
        </w:rPr>
        <w:t>辆。积极做好</w:t>
      </w:r>
      <w:r>
        <w:rPr>
          <w:rFonts w:hint="default" w:ascii="Times New Roman" w:hAnsi="Times New Roman" w:eastAsia="方正仿宋_GBK" w:cs="Times New Roman"/>
          <w:sz w:val="32"/>
          <w:szCs w:val="32"/>
          <w:lang w:val="en-US" w:eastAsia="zh-CN"/>
        </w:rPr>
        <w:t>扬尘污染治理及机动车维修行业污染排放治理工作，开展现一二类维修业户环保措施全覆盖。积极开展运输结构调整，广通联兴多式联运重点企业物流公司实现“公转铁”快速发展。完善在用汽车排放检验与维护制度（I/M制度），与生态环境、公安交管部门建立排放检验、执法处罚和维修治理信息共享机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三是绿美交通建设成效显著。</w:t>
      </w:r>
      <w:r>
        <w:rPr>
          <w:rFonts w:hint="default" w:ascii="Times New Roman" w:hAnsi="Times New Roman" w:eastAsia="方正仿宋_GBK" w:cs="Times New Roman"/>
          <w:sz w:val="32"/>
          <w:szCs w:val="32"/>
          <w:lang w:eastAsia="zh-CN"/>
        </w:rPr>
        <w:t>坚持交通基础设施建设</w:t>
      </w:r>
      <w:r>
        <w:rPr>
          <w:rFonts w:hint="default" w:ascii="Times New Roman" w:hAnsi="Times New Roman" w:eastAsia="方正仿宋_GBK" w:cs="Times New Roman"/>
          <w:sz w:val="32"/>
          <w:szCs w:val="32"/>
          <w:lang w:val="en-US" w:eastAsia="zh-CN"/>
        </w:rPr>
        <w:t>从规划至运营管理全生命周期绿色低碳转型。严格落实生态保护和水土保持措施，推进生态选线选址，强化生态环保设计，推进绿色施工，严格实施生态修复、环境治理与土地复垦，加快绿色基础设施建设。玉楚高速公路生态环境保护被焦点访谈点赞。</w:t>
      </w:r>
      <w:r>
        <w:rPr>
          <w:rFonts w:hint="default" w:ascii="Times New Roman" w:hAnsi="Times New Roman" w:eastAsia="方正仿宋_GBK" w:cs="Times New Roman"/>
          <w:sz w:val="32"/>
          <w:szCs w:val="32"/>
          <w:lang w:eastAsia="zh-CN"/>
        </w:rPr>
        <w:t>积极开展绿美交通建设三年行动，</w:t>
      </w:r>
      <w:r>
        <w:rPr>
          <w:rFonts w:hint="default" w:ascii="Times New Roman" w:hAnsi="Times New Roman" w:eastAsia="方正仿宋_GBK" w:cs="Times New Roman"/>
          <w:sz w:val="32"/>
          <w:szCs w:val="32"/>
          <w:lang w:val="en-US" w:eastAsia="zh-CN"/>
        </w:rPr>
        <w:t>积极自建苗木基地，积极宣传引导群众参与，通过整合养护资金、整合储备林项目资金、整合平台融资、整合项目建设、整合社会资源，</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计投入2.35亿元，建设绿美高速公路95公里、绿美国省道188公里，绿美农村公路1537公里，绿美服务区7个，创建省级示范项目9个。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现代化行业治理体系加快构建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深入推进交通运输综合行政执法改革工作，</w:t>
      </w:r>
      <w:r>
        <w:rPr>
          <w:rFonts w:hint="default" w:ascii="Times New Roman" w:hAnsi="Times New Roman" w:eastAsia="方正仿宋_GBK" w:cs="Times New Roman"/>
          <w:sz w:val="32"/>
          <w:szCs w:val="32"/>
          <w:lang w:val="en-US" w:eastAsia="zh-CN"/>
        </w:rPr>
        <w:t>2022年，楚雄州交通运输综合行政</w:t>
      </w:r>
      <w:r>
        <w:rPr>
          <w:rFonts w:hint="default" w:ascii="Times New Roman" w:hAnsi="Times New Roman" w:eastAsia="方正仿宋_GBK" w:cs="Times New Roman"/>
          <w:sz w:val="32"/>
          <w:szCs w:val="32"/>
        </w:rPr>
        <w:t>执法支队、10个</w:t>
      </w:r>
      <w:r>
        <w:rPr>
          <w:rFonts w:hint="default" w:ascii="Times New Roman" w:hAnsi="Times New Roman" w:eastAsia="方正仿宋_GBK" w:cs="Times New Roman"/>
          <w:sz w:val="32"/>
          <w:szCs w:val="32"/>
          <w:lang w:eastAsia="zh-CN"/>
        </w:rPr>
        <w:t>县市</w:t>
      </w:r>
      <w:r>
        <w:rPr>
          <w:rFonts w:hint="default" w:ascii="Times New Roman" w:hAnsi="Times New Roman" w:eastAsia="方正仿宋_GBK" w:cs="Times New Roman"/>
          <w:sz w:val="32"/>
          <w:szCs w:val="32"/>
        </w:rPr>
        <w:t>大队相继揭牌成立。持续优化营商环境，扎实推进“放管服”改革，进一步下放行政审批权限，继续推进“证照分离”改革，推行“承诺审批”，推进“跨省通办”，进一步落实“一窗受理、集成服务”。加强助企纾困，激发市场活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以来</w:t>
      </w:r>
      <w:r>
        <w:rPr>
          <w:rFonts w:hint="default" w:ascii="Times New Roman" w:hAnsi="Times New Roman" w:eastAsia="方正仿宋_GBK" w:cs="Times New Roman"/>
          <w:sz w:val="32"/>
          <w:szCs w:val="32"/>
        </w:rPr>
        <w:t>，道路运输新增市场主体</w:t>
      </w:r>
      <w:r>
        <w:rPr>
          <w:rFonts w:hint="default"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rPr>
        <w:t>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重点项目实施情况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“十四五”规划项目总投资为6046亿元，完成投资1300亿元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已累计完成投资628.8亿元。</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lang w:val="en-US" w:eastAsia="zh-CN"/>
        </w:rPr>
        <w:t>重点实施的项目情况如下：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1.昆明（岷山）至楚雄（广通）高速公路，2022年1月通车，楚雄境内段累计完成投资125.76亿元。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2.楚雄至大理高速公路，2022年3月通车，楚雄境内段累计完成投资265.52亿元。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3.玉溪至楚雄高速公路，2022年8月通车，楚雄境内段累计完成投资144.25亿元。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4.永仁至大姚高速公路，2023年6月通车，累计完成投资91.22亿元。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5.楚雄市东南绕城高速公路，已开工建设，路基土石方</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完成30%，桥梁桩基</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完成40%，完成投资48.06亿元。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6.姚安至南华高速公路，已开工建设，路基土石方</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完成88%，</w:t>
      </w:r>
      <w:r>
        <w:rPr>
          <w:rFonts w:hint="default" w:ascii="Times New Roman" w:hAnsi="Times New Roman" w:eastAsia="方正仿宋_GBK" w:cs="Times New Roman"/>
          <w:sz w:val="32"/>
          <w:szCs w:val="32"/>
          <w:lang w:val="zh-CN"/>
        </w:rPr>
        <w:t>桥梁总体完成</w:t>
      </w:r>
      <w:r>
        <w:rPr>
          <w:rFonts w:hint="default" w:ascii="Times New Roman" w:hAnsi="Times New Roman" w:eastAsia="方正仿宋_GBK" w:cs="Times New Roman"/>
          <w:sz w:val="32"/>
          <w:szCs w:val="32"/>
        </w:rPr>
        <w:t>47%</w:t>
      </w:r>
      <w:r>
        <w:rPr>
          <w:rFonts w:hint="default" w:ascii="Times New Roman" w:hAnsi="Times New Roman" w:eastAsia="方正仿宋_GBK" w:cs="Times New Roman"/>
          <w:sz w:val="32"/>
          <w:szCs w:val="32"/>
          <w:lang w:val="zh-CN"/>
        </w:rPr>
        <w:t>，隧道掘进</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lang w:val="zh-CN"/>
        </w:rPr>
        <w:t>完成</w:t>
      </w: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rPr>
        <w:t>，完成投资54.8亿元。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7.牟定至元谋高速公路，已开工建设，路基土石方</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完成15%，桥梁桩基</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完成28%</w:t>
      </w:r>
      <w:r>
        <w:rPr>
          <w:rFonts w:hint="default" w:ascii="Times New Roman" w:hAnsi="Times New Roman" w:eastAsia="方正仿宋_GBK" w:cs="Times New Roman"/>
          <w:sz w:val="32"/>
          <w:szCs w:val="32"/>
          <w:lang w:val="zh-CN"/>
        </w:rPr>
        <w:t>，隧道掘进</w:t>
      </w:r>
      <w:r>
        <w:rPr>
          <w:rFonts w:hint="default"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lang w:val="zh-CN"/>
        </w:rPr>
        <w:t>完成</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rPr>
        <w:t>，完成投资53.6亿元。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8.元谋至大姚高速公路，已开工建设，</w:t>
      </w:r>
      <w:r>
        <w:rPr>
          <w:rFonts w:hint="default" w:ascii="Times New Roman" w:hAnsi="Times New Roman" w:eastAsia="方正仿宋_GBK" w:cs="Times New Roman"/>
          <w:sz w:val="32"/>
          <w:szCs w:val="32"/>
          <w:lang w:eastAsia="zh-CN"/>
        </w:rPr>
        <w:t>正在开展各类工程建设</w:t>
      </w:r>
      <w:r>
        <w:rPr>
          <w:rFonts w:hint="default" w:ascii="Times New Roman" w:hAnsi="Times New Roman" w:eastAsia="方正仿宋_GBK" w:cs="Times New Roman"/>
          <w:sz w:val="32"/>
          <w:szCs w:val="32"/>
        </w:rPr>
        <w:t>，完成投资66.68亿元。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9.楚雄至景东高速公路，已取得工可批复，初步设计已经通过省交通运输厅审查，力争2023年内开工。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10.大理至攀枝花高速公路，已取得工可批复，投资人招选工作已完成，力争2023年内开工建设。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11.双柏至元江（嘎洒）高速公路，已完成绿孔雀监测及工可编制，目前正在积极汇报协调环保、林草相关工作，同步开展勘察设计。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12.武定至禄丰至双柏高速公路，工可已基本完成，近期可进行行业审查，正在同步开展勘察设计。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13.广通站扩能改造，已开工建设，目前正在开展征地拆迁等工作，计划总投资1.73亿元。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14.成昆线广通至昆明段复线改造工程，工可已基本完成，目前正在开展勘察设计工作，力争明年开工建设。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15.楚雄至临沧铁路，前期工作正积极推进，已完成预可研，目前国家铁路集团已明确表示给予支持，积极争取进入国家规划。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16.中老泰铁路楚雄联络线（楚雄至玉溪段），前期工作正积极推进，已完成预可研招标工作，目前正加强汇报对接，争取进入国家规划。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17.楚雄民用运输机场，可研已通过国家民航局审查，正抓紧</w:t>
      </w:r>
      <w:r>
        <w:rPr>
          <w:rFonts w:hint="default" w:ascii="Times New Roman" w:hAnsi="Times New Roman" w:eastAsia="方正仿宋_GBK" w:cs="Times New Roman"/>
          <w:spacing w:val="-6"/>
          <w:sz w:val="32"/>
          <w:szCs w:val="32"/>
        </w:rPr>
        <w:t>修改完善后报批；机场连接线前期工作已基本完成，准备启动实施。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18.国道G357鄂嘉至景太大桥，工可及初步设计初稿已完成，目前正在积极推进相关报批工作，力争明年开工建设。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19.省道S215勤丰段，已基本完成前期工作，计划明年开工建设。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20.省道S324元谋至大姚至祥云界，国土空间控制规划编制工作已完成，并纳入了楚雄州国土空间总体规划，实现了交通基础设施建设线位、点位等空间资源有效预留。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21.金沙江中游码头，金沙江航运发展规划进一步完善，水运基础设施项目全面推进，永兴、湾碧、龙街码头等前期工作基本完成准备启动实施。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22.乡镇通三级公路，“十四五”以来共计实施388公里，全州乡镇通三级路率提升至53.4%，提高16.7个百分点。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23.30户以上自然村通硬化路，“十四五”以来共计实施2984公里，全州30户以上自然村通硬化路率提升至63.1%，提高12.1个百分点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村道生命安全防护工程，“十四五”以来共计实施村道生命安全防护工程1627公里。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农村公路桥梁改造，“十四五”以来共计实施农村公路桥梁改造83座。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规划实施中存在的困难和问题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年半来，楚雄州综合交通发展取得了较大进步，交通运输基础设施网络日趋完善，基本能够适应经济社会发展要求，人民获得感和满意度明显提升。但交通运输发展也面临着综合交通网络布局不够均衡、综合交通建设要素保障面临挑战、高质量发展任务依然繁重等困难和问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一是综合立体交通网络布局不够均衡。</w:t>
      </w:r>
      <w:r>
        <w:rPr>
          <w:rFonts w:hint="default" w:ascii="Times New Roman" w:hAnsi="Times New Roman" w:eastAsia="方正仿宋_GBK" w:cs="Times New Roman"/>
          <w:sz w:val="32"/>
          <w:szCs w:val="32"/>
        </w:rPr>
        <w:t>楚雄民用机场尚未开工建设，航空运输依然空白；铁路总体规模不足，有5个县不通客运铁路、3个县不通货运铁路，辐射能力不强；高速公路互联互通还未全部畅通，南下大通道还未完全打通；普通省道及县乡道公路技术等级偏低；水运通道通而不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二是综合交通建设要素保障仍面临较大挑战。</w:t>
      </w:r>
      <w:r>
        <w:rPr>
          <w:rFonts w:hint="default" w:ascii="Times New Roman" w:hAnsi="Times New Roman" w:eastAsia="方正仿宋_GBK" w:cs="Times New Roman"/>
          <w:sz w:val="32"/>
          <w:szCs w:val="32"/>
        </w:rPr>
        <w:t>项目资金方面，地方高速公路建设需要地方政府配套资金，专项债是地方出资的主要渠道，但地方政府债务空间有限，仅依靠州、县两级债务空间难以保障足额发行，加之专项债额度不足，争取难度进一步增大。机场项目同样面临地方配套资金难题。受经济大环境和政策影响，高速公路省级补助资金、农村公路上级补助资金近两年逐年减少，到位率低、到位慢。资源环境方面，由于综合交通类基础设施建设项目多属线性工程，规模大，占用土地林地指标等难以完全保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三是高质量发展任务依然繁重。</w:t>
      </w:r>
      <w:r>
        <w:rPr>
          <w:rFonts w:hint="default" w:ascii="Times New Roman" w:hAnsi="Times New Roman" w:eastAsia="方正仿宋_GBK" w:cs="Times New Roman"/>
          <w:sz w:val="32"/>
          <w:szCs w:val="32"/>
        </w:rPr>
        <w:t>定制化、个性化、专业化运输服务产品供给与快速增长的需求不匹配。智能交通技术应用深度和广度有待拓展。交通运输安全形势仍然严峻，产业链供应链保障能力不足。绿色低碳发展任务艰巨，清洁能源推广应用仍需加快。综合交通运输管理体制机制有待健全完善，制约要素自由流动的体制机制障碍依然存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三、规划调整情况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（一）指标调整情况建议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1.高速公路通车里程，根据目前项目建设实际，预期十四五末，全州高速公路通车里程为837.15公里，建议目标调整为837.15公里</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2.铁路营运里程，“十四五”期间预计新开工项目（1项）为成昆线昆明至广通段复线改造工程，新建里程114.798公里，建议铁路铁路运营及在建里程2025年目标调整为710公里。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3.高铁和动车里程。结合楚雄州“十四五”期间无高铁和动车新增里程，建议至高铁和动车里程2025年指标调整为265公里，未增加。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4.高铁和动车里程占比。结合楚雄州 “十四五”期间无高铁和动车新增里程，建议至高铁和动车里程占比指标标调整为43%。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（二）项目调整建议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1.新增前期研究项目（1个）：武定至寻甸城际铁路（楚雄段），具体附后表。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2.新增新开工项目（2个）：成昆铁路永仁至广通段扩能改造工程广通站扩能、成昆铁路昆明至广通段复线扩能改造工程，具体附后表。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十四五后期面临的发展环境和形势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当前，综合交通运输发展面临的形势更加复杂多变。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国际看，当今世界正经历百年未有之大变局，新一轮科技革命和产业变革深入发展，新冠肺炎疫情冲击全球产业链供应链和国际物流体系，经济全球化遭遇逆流。从国内看，我国开启全面建设社会主义现代化国家的新征程，区域经济布局、国土开发保护格局、人口结构分布、消费需求特征、要素供给模式等发生深刻变化，对综合交通运输体系发展提出新要求，交通运输行业进入完善设施网络、精准补齐短板的关键期，促进一体融合、提升服务质效的机遇期，深化改革创新、转变发展方式的攻坚期。从全省看，省委省政府明确云南省未来发展的“3815”战略发展目标，国家支持云南省加快建设面向南亚东南亚辐射中心，都要求综合交通加快基础设施补短板、强通道，完善多种运输方式空间布局，以创新驱动转型升级，推动综合交通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来几年，楚雄州综合交通发展要加快适应国土空间开发保护、滇中一体化昆楚协同发展、全面推进乡村振兴等要求，进一步优化综合交通基础设施网络布局，强化衔接融合，因地制宜完善区域城乡综合交通网络。要坚持以创新为核心，推动新科技赋能提升交通运输发展质量效率；要持续深化调整发展模式，将绿色发展理念、低碳发展要求贯穿发展全过程，提高自身运行安全水平和对国家战略安全的保障能力；要将满足人民对美好生活的向往、促进共同富裕作为着力点，转变发展路径，促进建管养运并重、设施服务均衡协同、交通运输与经济社会发展深度融合，以全方位转型推动交通运输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实施“十四五”规划后期工作重点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（一）持续推进现代化综合交通基础设施建设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以“联网、互通”为重点，进一步优化交通基础设施的布局和结构，谋划推进重大工程建设，推动各种运输方式有机融合，努力构建现代化综合立体交通基础设施体系。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一是加快推动重大交通基础设施项目建设。</w:t>
      </w:r>
      <w:r>
        <w:rPr>
          <w:rFonts w:hint="default" w:ascii="Times New Roman" w:hAnsi="Times New Roman" w:eastAsia="方正仿宋_GBK" w:cs="Times New Roman"/>
          <w:b/>
          <w:bCs/>
          <w:sz w:val="32"/>
          <w:szCs w:val="32"/>
          <w:lang w:eastAsia="zh-CN"/>
        </w:rPr>
        <w:t>加快</w:t>
      </w:r>
      <w:r>
        <w:rPr>
          <w:rFonts w:hint="default" w:ascii="Times New Roman" w:hAnsi="Times New Roman" w:eastAsia="方正仿宋_GBK" w:cs="Times New Roman"/>
          <w:b/>
          <w:bCs/>
          <w:sz w:val="32"/>
          <w:szCs w:val="32"/>
        </w:rPr>
        <w:t>谋划推进</w:t>
      </w:r>
      <w:r>
        <w:rPr>
          <w:rFonts w:hint="default" w:ascii="Times New Roman" w:hAnsi="Times New Roman" w:eastAsia="方正仿宋_GBK" w:cs="Times New Roman"/>
          <w:b/>
          <w:bCs/>
          <w:sz w:val="32"/>
          <w:szCs w:val="32"/>
          <w:lang w:eastAsia="zh-CN"/>
        </w:rPr>
        <w:t>建设“滇中铁路上的楚雄”。</w:t>
      </w:r>
      <w:r>
        <w:rPr>
          <w:rFonts w:hint="default" w:ascii="Times New Roman" w:hAnsi="Times New Roman" w:eastAsia="方正仿宋_GBK" w:cs="Times New Roman"/>
          <w:sz w:val="32"/>
          <w:szCs w:val="32"/>
          <w:lang w:eastAsia="zh-CN"/>
        </w:rPr>
        <w:t>积极谋划推动</w:t>
      </w:r>
      <w:r>
        <w:rPr>
          <w:rFonts w:hint="default" w:ascii="Times New Roman" w:hAnsi="Times New Roman" w:eastAsia="方正仿宋_GBK" w:cs="Times New Roman"/>
          <w:sz w:val="32"/>
          <w:szCs w:val="32"/>
        </w:rPr>
        <w:t>楚雄至临沧、昆楚大高速铁路、中老铁路联络线（楚雄至玉溪）等铁路项目</w:t>
      </w:r>
      <w:r>
        <w:rPr>
          <w:rFonts w:hint="default" w:ascii="Times New Roman" w:hAnsi="Times New Roman" w:eastAsia="方正仿宋_GBK" w:cs="Times New Roman"/>
          <w:sz w:val="32"/>
          <w:szCs w:val="32"/>
          <w:lang w:eastAsia="zh-CN"/>
        </w:rPr>
        <w:t>前期工作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争取纳入国家规划实施，配合加快</w:t>
      </w:r>
      <w:r>
        <w:rPr>
          <w:rFonts w:hint="default" w:ascii="Times New Roman" w:hAnsi="Times New Roman" w:eastAsia="方正仿宋_GBK" w:cs="Times New Roman"/>
          <w:sz w:val="32"/>
          <w:szCs w:val="32"/>
        </w:rPr>
        <w:t>成昆铁路永仁至广通段扩能改造工程广通站扩能、成昆铁路昆明至广通段复线扩能改造工程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加快楚雄民用运输机场建设，</w:t>
      </w:r>
      <w:r>
        <w:rPr>
          <w:rFonts w:hint="default" w:ascii="Times New Roman" w:hAnsi="Times New Roman" w:eastAsia="方正仿宋_GBK" w:cs="Times New Roman"/>
          <w:sz w:val="32"/>
          <w:szCs w:val="32"/>
        </w:rPr>
        <w:t>并为未来提升为4F机场预留好发展空间。</w:t>
      </w:r>
      <w:r>
        <w:rPr>
          <w:rFonts w:hint="default" w:ascii="Times New Roman" w:hAnsi="Times New Roman" w:eastAsia="方正仿宋_GBK" w:cs="Times New Roman"/>
          <w:b/>
          <w:bCs/>
          <w:sz w:val="32"/>
          <w:szCs w:val="32"/>
        </w:rPr>
        <w:t>加快实施高速公路“互联互通”工程，建设高速公路网上的楚雄。</w:t>
      </w:r>
      <w:r>
        <w:rPr>
          <w:rFonts w:hint="default" w:ascii="Times New Roman" w:hAnsi="Times New Roman" w:eastAsia="方正仿宋_GBK" w:cs="Times New Roman"/>
          <w:sz w:val="32"/>
          <w:szCs w:val="32"/>
          <w:lang w:eastAsia="zh-CN"/>
        </w:rPr>
        <w:t>加快楚雄市东南绕城、楚雄至景东、牟定至元谋、姚安至南华、元谋至大姚、大理至攀枝花、双柏至元江等“互联互通”项目建设，谋划推进武定至禄丰至双柏等项目。</w:t>
      </w:r>
      <w:r>
        <w:rPr>
          <w:rFonts w:hint="default" w:ascii="Times New Roman" w:hAnsi="Times New Roman" w:eastAsia="方正仿宋_GBK" w:cs="Times New Roman"/>
          <w:b/>
          <w:bCs/>
          <w:sz w:val="32"/>
          <w:szCs w:val="32"/>
          <w:lang w:eastAsia="zh-CN"/>
        </w:rPr>
        <w:t>扎实推进国省道提升改造，</w:t>
      </w:r>
      <w:r>
        <w:rPr>
          <w:rFonts w:hint="default" w:ascii="Times New Roman" w:hAnsi="Times New Roman" w:eastAsia="方正仿宋_GBK" w:cs="Times New Roman"/>
          <w:sz w:val="32"/>
          <w:szCs w:val="32"/>
          <w:lang w:eastAsia="zh-CN"/>
        </w:rPr>
        <w:t>加快</w:t>
      </w:r>
      <w:r>
        <w:rPr>
          <w:rFonts w:hint="default" w:ascii="Times New Roman" w:hAnsi="Times New Roman" w:eastAsia="方正仿宋_GBK" w:cs="Times New Roman"/>
          <w:sz w:val="32"/>
          <w:szCs w:val="32"/>
          <w:lang w:val="en-US" w:eastAsia="zh-CN"/>
        </w:rPr>
        <w:t>G357鄂嘉至景太大桥、S215勤丰段等路段改造。</w:t>
      </w:r>
      <w:r>
        <w:rPr>
          <w:rFonts w:hint="default" w:ascii="Times New Roman" w:hAnsi="Times New Roman" w:eastAsia="方正仿宋_GBK" w:cs="Times New Roman"/>
          <w:b/>
          <w:bCs/>
          <w:sz w:val="32"/>
          <w:szCs w:val="32"/>
        </w:rPr>
        <w:t>提升金沙江（楚雄段）航道等级，加快“一港六码头”建设。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二是实施好交通民生工程。</w:t>
      </w:r>
      <w:r>
        <w:rPr>
          <w:rFonts w:hint="default" w:ascii="Times New Roman" w:hAnsi="Times New Roman" w:eastAsia="方正仿宋_GBK" w:cs="Times New Roman"/>
          <w:sz w:val="32"/>
          <w:szCs w:val="32"/>
          <w:lang w:val="en-US" w:eastAsia="zh-CN"/>
        </w:rPr>
        <w:t>扎实推进“四好农村路”建设。</w:t>
      </w:r>
      <w:r>
        <w:rPr>
          <w:rFonts w:hint="default" w:ascii="Times New Roman" w:hAnsi="Times New Roman" w:eastAsia="方正仿宋_GBK" w:cs="Times New Roman"/>
          <w:sz w:val="32"/>
          <w:szCs w:val="32"/>
        </w:rPr>
        <w:t>持续提升县乡道公路等级，加快实施乡镇通三级公路、30户以上自然村公路硬化，完成3000公里农村公路新建、改建，实施1200公里农村公路安全生命防护工程，完成40座以上农村公路危桥改造。</w:t>
      </w:r>
      <w:r>
        <w:rPr>
          <w:rFonts w:hint="default" w:ascii="Times New Roman" w:hAnsi="Times New Roman" w:eastAsia="方正仿宋_GBK" w:cs="Times New Roman"/>
          <w:sz w:val="32"/>
          <w:szCs w:val="32"/>
          <w:lang w:eastAsia="zh-CN"/>
        </w:rPr>
        <w:t>推进农村客运站“客货邮”功能融合。</w:t>
      </w:r>
      <w:r>
        <w:rPr>
          <w:rFonts w:hint="default" w:ascii="Times New Roman" w:hAnsi="Times New Roman" w:eastAsia="方正仿宋_GBK" w:cs="Times New Roman"/>
          <w:sz w:val="32"/>
          <w:szCs w:val="32"/>
          <w:lang w:val="en-US" w:eastAsia="zh-CN"/>
        </w:rPr>
        <w:t>做好综合运输场站规划建设。加强高铁站、客运站换成体系建设，</w:t>
      </w:r>
      <w:r>
        <w:rPr>
          <w:rFonts w:hint="default" w:ascii="Times New Roman" w:hAnsi="Times New Roman" w:eastAsia="方正仿宋_GBK" w:cs="Times New Roman"/>
          <w:sz w:val="32"/>
          <w:szCs w:val="32"/>
          <w:lang w:eastAsia="zh-CN"/>
        </w:rPr>
        <w:t>谋划推进楚雄机场综合交通枢纽、广通公铁物流园、勤丰公铁物流园等项目建设。</w:t>
      </w:r>
      <w:r>
        <w:rPr>
          <w:rFonts w:hint="default" w:ascii="Times New Roman" w:hAnsi="Times New Roman" w:eastAsia="方正仿宋_GBK" w:cs="Times New Roman"/>
          <w:sz w:val="32"/>
          <w:szCs w:val="32"/>
          <w:lang w:val="en-US" w:eastAsia="zh-CN"/>
        </w:rPr>
        <w:t>谋划好楚雄中心城市内外交通有效衔接。指导楚雄市做好城区市政路网与外部交通衔接工作，逐步解决市内外交通衔接堵点，改善城市交通环境。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（二）持续提升运输服务质量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一是加快构建舒适顺畅、快速便捷的城乡出行系统。</w:t>
      </w:r>
      <w:r>
        <w:rPr>
          <w:rFonts w:hint="default" w:ascii="Times New Roman" w:hAnsi="Times New Roman" w:eastAsia="方正仿宋_GBK" w:cs="Times New Roman"/>
          <w:sz w:val="32"/>
          <w:szCs w:val="32"/>
        </w:rPr>
        <w:t>推进旅客联程运输发展，实现公路-铁路运输转换便利服务，谋划好楚雄机场等综合客运枢纽建设。深入实施公交发展优先战略，拓展县城公交服务覆盖，推进城乡交通运输一体化发展，推动城乡客运公交化，优化农村客运运营组织经营模式。提升公共客运适应老龄化和无障碍服务水平。加快网约车合规化进程，促进出租汽车新老业态融合发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二是建设高效顺畅货运物流服务体系，促进物流降本增效。</w:t>
      </w:r>
      <w:r>
        <w:rPr>
          <w:rFonts w:hint="default" w:ascii="Times New Roman" w:hAnsi="Times New Roman" w:eastAsia="方正仿宋_GBK" w:cs="Times New Roman"/>
          <w:sz w:val="32"/>
          <w:szCs w:val="32"/>
        </w:rPr>
        <w:t>加强铁路、航空货运能力建设，加快广通、勤丰等公铁货运物流园建设。持续推进道路货运高质量发展，推广货运车辆标准化，支持企业加快互联网货运，参与国际道路货运，推进集装箱多式联运、冷链运输发展，加强危险货物运输监管。深化农村客货邮融合发展，宣传推广楚雄、双柏、姚安，提升农村物流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（三）以创新驱动运输高质量发展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加强智慧交通基础设施建设</w:t>
      </w:r>
      <w:r>
        <w:rPr>
          <w:rFonts w:hint="default" w:ascii="Times New Roman" w:hAnsi="Times New Roman" w:eastAsia="方正仿宋_GBK" w:cs="Times New Roman"/>
          <w:sz w:val="32"/>
          <w:szCs w:val="32"/>
          <w:lang w:eastAsia="zh-CN"/>
        </w:rPr>
        <w:t>，推广建设</w:t>
      </w:r>
      <w:r>
        <w:rPr>
          <w:rFonts w:hint="default" w:ascii="Times New Roman" w:hAnsi="Times New Roman" w:eastAsia="方正仿宋_GBK" w:cs="Times New Roman"/>
          <w:sz w:val="32"/>
          <w:szCs w:val="32"/>
        </w:rPr>
        <w:t>公路智慧监测体系</w:t>
      </w:r>
      <w:r>
        <w:rPr>
          <w:rFonts w:hint="default" w:ascii="Times New Roman" w:hAnsi="Times New Roman" w:eastAsia="方正仿宋_GBK" w:cs="Times New Roman"/>
          <w:sz w:val="32"/>
          <w:szCs w:val="32"/>
          <w:lang w:eastAsia="zh-CN"/>
        </w:rPr>
        <w:t>，积极参与昆楚大智慧高速公路建设。</w:t>
      </w:r>
      <w:r>
        <w:rPr>
          <w:rFonts w:hint="default" w:ascii="Times New Roman" w:hAnsi="Times New Roman" w:eastAsia="方正仿宋_GBK" w:cs="Times New Roman"/>
          <w:sz w:val="32"/>
          <w:szCs w:val="32"/>
        </w:rPr>
        <w:t>提高智能出行服务水平</w:t>
      </w:r>
      <w:r>
        <w:rPr>
          <w:rFonts w:hint="default" w:ascii="Times New Roman" w:hAnsi="Times New Roman" w:eastAsia="方正仿宋_GBK" w:cs="Times New Roman"/>
          <w:sz w:val="32"/>
          <w:szCs w:val="32"/>
          <w:lang w:eastAsia="zh-CN"/>
        </w:rPr>
        <w:t>，持续推广</w:t>
      </w:r>
      <w:r>
        <w:rPr>
          <w:rFonts w:hint="default" w:ascii="Times New Roman" w:hAnsi="Times New Roman" w:eastAsia="方正仿宋_GBK" w:cs="Times New Roman"/>
          <w:sz w:val="32"/>
          <w:szCs w:val="32"/>
        </w:rPr>
        <w:t>电子客票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加强ETC推广发行和管理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提升货流信</w:t>
      </w:r>
      <w:r>
        <w:rPr>
          <w:rFonts w:hint="default" w:ascii="Times New Roman" w:hAnsi="Times New Roman" w:eastAsia="方正仿宋_GBK" w:cs="Times New Roman"/>
          <w:sz w:val="32"/>
          <w:szCs w:val="32"/>
          <w:lang w:eastAsia="zh-CN"/>
        </w:rPr>
        <w:t>息化服务水平，推广使用货运“电子运单”，推进货运“一单制”。强化交通科技创新应用，做好第五代移动通信技术（5G）、北斗卫星导航系统、建筑信息模型（BIM）等技术推广运用。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推进绿色集约循环发展。强化生态环境保护理念，提升基础设施环保水平。促进资源节约集约利用，科学选线选址，推行施工标准化建设，推广应用节能型材料、工艺。推进运输组织集约化高效化，鼓励运输企业规模化、集约化发展，倡导公众绿色出行。加强重点领域污染防治，加大新能源和清洁能源装备推广应用。加快绿美交通建设，加强交通沿线绿化美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持续加大基础设施安全防护投入，开展农村公路“消危”行动。完善交通运输安全生产体系，健全企业安全生产信用体系，加大行业安全生产宣传教育。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完善交通运输行政管理体系，深入优化营商环境，进一步下放行政审批权限，继续推进“证照分离”改革，推行“承诺审批”，推进“跨省通办”等。深化交通运输行业改革，健全养护管理体制，完善行业管理体制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、进一步推进规划实施的对策和建议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一是强化组织领导。</w:t>
      </w:r>
      <w:r>
        <w:rPr>
          <w:rFonts w:hint="default" w:ascii="Times New Roman" w:hAnsi="Times New Roman" w:eastAsia="方正仿宋_GBK" w:cs="Times New Roman"/>
          <w:sz w:val="32"/>
          <w:szCs w:val="32"/>
          <w:lang w:val="en-US" w:eastAsia="zh-CN"/>
        </w:rPr>
        <w:t>按照“政府统筹、多方共建”的原则，加强州级层面统筹指导，明确各方责任。发挥好</w:t>
      </w:r>
      <w:r>
        <w:rPr>
          <w:rFonts w:hint="default" w:ascii="Times New Roman" w:hAnsi="Times New Roman" w:eastAsia="方正仿宋_GBK" w:cs="Times New Roman"/>
          <w:sz w:val="32"/>
          <w:szCs w:val="32"/>
          <w:lang w:eastAsia="zh-CN"/>
        </w:rPr>
        <w:t>州人民政府综合交通项目建设指挥部的统筹协调作用，</w:t>
      </w:r>
      <w:r>
        <w:rPr>
          <w:rFonts w:hint="default" w:ascii="Times New Roman" w:hAnsi="Times New Roman" w:eastAsia="方正仿宋_GBK" w:cs="Times New Roman"/>
          <w:sz w:val="32"/>
          <w:szCs w:val="32"/>
          <w:lang w:val="en-US" w:eastAsia="zh-CN"/>
        </w:rPr>
        <w:t>加强与各要素保障有关部门之间沟通合作，及时协调解决工作中存在的问题，形成合力推进规划实施。加强规划实施中动态监测分析。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rPr>
        <w:t>二是加强政策协同</w:t>
      </w:r>
      <w:r>
        <w:rPr>
          <w:rFonts w:hint="default"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充分利用国家深入实施“一带一路”、西部陆海新通道、交通强国建设和云南面向南亚东南亚辐射中心建设等战略的有利形势，加强与国家、省政策、规划相衔接，力争将一批符合国家重大战略的交通基础设施建设项目纳入国家规划和各类专项规划、项目库以及有关专项工作方案，全力争取国家和云南省在综合交通运输发展战略、发展规划、政策措施、资金补助等方面给予楚雄更多的支持。做好综合交通运输规划与国土空间、生态环境等规划的协调衔接，扎实推进综合交通基础设施项目建设。促进交通运输与自然资源、产业、城镇、投资、环境保护等政策协同，保障综合交通运输目标任务完成。按规定落实税费优惠政策，推动交通运输行业转型、新业态新模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三是加快项目建设。</w:t>
      </w:r>
      <w:r>
        <w:rPr>
          <w:rFonts w:hint="default" w:ascii="Times New Roman" w:hAnsi="Times New Roman" w:eastAsia="方正仿宋_GBK" w:cs="Times New Roman"/>
          <w:sz w:val="32"/>
          <w:szCs w:val="32"/>
          <w:lang w:eastAsia="zh-CN"/>
        </w:rPr>
        <w:t>积极协调项目前期工作。加快高速公路项目前期工作，以提高报件质量为核心，加快用地预审、正式用地手续等办理，做好环评、水保等工作，争取楚景、大攀初设尽快批复，尽快开展正式用地报批，做好</w:t>
      </w:r>
      <w:r>
        <w:rPr>
          <w:rFonts w:hint="default" w:ascii="Times New Roman" w:hAnsi="Times New Roman" w:eastAsia="方正仿宋_GBK" w:cs="Times New Roman"/>
          <w:sz w:val="32"/>
          <w:szCs w:val="32"/>
        </w:rPr>
        <w:t>武禄双</w:t>
      </w:r>
      <w:r>
        <w:rPr>
          <w:rFonts w:hint="default" w:ascii="Times New Roman" w:hAnsi="Times New Roman" w:eastAsia="方正仿宋_GBK" w:cs="Times New Roman"/>
          <w:sz w:val="32"/>
          <w:szCs w:val="32"/>
          <w:lang w:eastAsia="zh-CN"/>
        </w:rPr>
        <w:t>、双元</w:t>
      </w:r>
      <w:r>
        <w:rPr>
          <w:rFonts w:hint="default" w:ascii="Times New Roman" w:hAnsi="Times New Roman" w:eastAsia="方正仿宋_GBK" w:cs="Times New Roman"/>
          <w:sz w:val="32"/>
          <w:szCs w:val="32"/>
        </w:rPr>
        <w:t>工可</w:t>
      </w:r>
      <w:r>
        <w:rPr>
          <w:rFonts w:hint="default" w:ascii="Times New Roman" w:hAnsi="Times New Roman" w:eastAsia="方正仿宋_GBK" w:cs="Times New Roman"/>
          <w:sz w:val="32"/>
          <w:szCs w:val="32"/>
          <w:lang w:eastAsia="zh-CN"/>
        </w:rPr>
        <w:t>送审相关工作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加强双元项目前期工作汇报协调。积极做好</w:t>
      </w:r>
      <w:r>
        <w:rPr>
          <w:rFonts w:hint="default" w:ascii="Times New Roman" w:hAnsi="Times New Roman" w:eastAsia="方正仿宋_GBK" w:cs="Times New Roman"/>
          <w:sz w:val="32"/>
          <w:szCs w:val="32"/>
        </w:rPr>
        <w:t>楚雄至临沧、中老泰铁路楚雄联络线</w:t>
      </w:r>
      <w:r>
        <w:rPr>
          <w:rFonts w:hint="default" w:ascii="Times New Roman" w:hAnsi="Times New Roman" w:eastAsia="方正仿宋_GBK" w:cs="Times New Roman"/>
          <w:sz w:val="32"/>
          <w:szCs w:val="32"/>
          <w:lang w:eastAsia="zh-CN"/>
        </w:rPr>
        <w:t>（楚雄至玉溪段）预可和昆楚大丽高铁前期研究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为后续争取纳入国家规划打牢基础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继续加快工可、总规、设计审批汇报协调，做好要素保障和进场道路建设</w:t>
      </w:r>
      <w:r>
        <w:rPr>
          <w:rFonts w:hint="default" w:ascii="Times New Roman" w:hAnsi="Times New Roman" w:eastAsia="方正仿宋_GBK" w:cs="Times New Roman"/>
          <w:sz w:val="32"/>
          <w:szCs w:val="32"/>
        </w:rPr>
        <w:t>，确</w:t>
      </w:r>
      <w:r>
        <w:rPr>
          <w:rFonts w:hint="default" w:ascii="Times New Roman" w:hAnsi="Times New Roman" w:eastAsia="方正仿宋_GBK" w:cs="Times New Roman"/>
          <w:sz w:val="32"/>
          <w:szCs w:val="32"/>
          <w:lang w:eastAsia="zh-CN"/>
        </w:rPr>
        <w:t>保楚雄民用运输机场尽早开工。配合做好金沙江楚雄段高等级航道建设工作，抓紧完成“一港六码头”等前期工作。全力加快实施进度。高质量推进高速公路“互联互通”项目建设，加强调度协调，督促各高速公路项目公司加强管理、细化施工组织计划，加大投入，形成更多实物工程量和投资，力争姚南、楚雄市东南绕城高速公路</w:t>
      </w:r>
      <w:r>
        <w:rPr>
          <w:rFonts w:hint="default" w:ascii="Times New Roman" w:hAnsi="Times New Roman" w:eastAsia="方正仿宋_GBK" w:cs="Times New Roman"/>
          <w:sz w:val="32"/>
          <w:szCs w:val="32"/>
          <w:lang w:val="en-US" w:eastAsia="zh-CN"/>
        </w:rPr>
        <w:t>2024年建成通车，牟元高速公路2025年底基本建成</w:t>
      </w:r>
      <w:r>
        <w:rPr>
          <w:rFonts w:hint="default" w:ascii="Times New Roman" w:hAnsi="Times New Roman" w:eastAsia="方正仿宋_GBK" w:cs="Times New Roman"/>
          <w:sz w:val="32"/>
          <w:szCs w:val="32"/>
          <w:lang w:eastAsia="zh-CN"/>
        </w:rPr>
        <w:t>。积极配合铁路项目保障，做好征地拆迁协调和施工环境保障工作。攻坚加速“四好农村路”建设，督促各县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落实农村公路建设主体责任，加快乡镇通三级公路、</w:t>
      </w:r>
      <w:r>
        <w:rPr>
          <w:rFonts w:hint="default" w:ascii="Times New Roman" w:hAnsi="Times New Roman" w:eastAsia="方正仿宋_GBK" w:cs="Times New Roman"/>
          <w:sz w:val="32"/>
          <w:szCs w:val="32"/>
          <w:lang w:val="en-US" w:eastAsia="zh-CN"/>
        </w:rPr>
        <w:t>30户以上自然村公路建设，积极开展农村公路“消危”行动。</w:t>
      </w:r>
      <w:r>
        <w:rPr>
          <w:rFonts w:hint="default" w:ascii="Times New Roman" w:hAnsi="Times New Roman" w:eastAsia="方正仿宋_GBK" w:cs="Times New Roman"/>
          <w:sz w:val="32"/>
          <w:szCs w:val="32"/>
        </w:rPr>
        <w:t>做好</w:t>
      </w:r>
      <w:r>
        <w:rPr>
          <w:rFonts w:hint="default" w:ascii="Times New Roman" w:hAnsi="Times New Roman" w:eastAsia="方正仿宋_GBK" w:cs="Times New Roman"/>
          <w:sz w:val="32"/>
          <w:szCs w:val="32"/>
          <w:lang w:eastAsia="zh-CN"/>
        </w:rPr>
        <w:t>项目建设</w:t>
      </w:r>
      <w:r>
        <w:rPr>
          <w:rFonts w:hint="default" w:ascii="Times New Roman" w:hAnsi="Times New Roman" w:eastAsia="方正仿宋_GBK" w:cs="Times New Roman"/>
          <w:sz w:val="32"/>
          <w:szCs w:val="32"/>
        </w:rPr>
        <w:t>要素保障。创新投融资模式，拓宽</w:t>
      </w:r>
      <w:r>
        <w:rPr>
          <w:rFonts w:hint="default" w:ascii="Times New Roman" w:hAnsi="Times New Roman" w:eastAsia="方正仿宋_GBK" w:cs="Times New Roman"/>
          <w:sz w:val="32"/>
          <w:szCs w:val="32"/>
          <w:lang w:eastAsia="zh-CN"/>
        </w:rPr>
        <w:t>综合交通基础设施建设</w:t>
      </w:r>
      <w:r>
        <w:rPr>
          <w:rFonts w:hint="default" w:ascii="Times New Roman" w:hAnsi="Times New Roman" w:eastAsia="方正仿宋_GBK" w:cs="Times New Roman"/>
          <w:sz w:val="32"/>
          <w:szCs w:val="32"/>
        </w:rPr>
        <w:t>投融资渠道</w:t>
      </w:r>
      <w:r>
        <w:rPr>
          <w:rFonts w:hint="default" w:ascii="Times New Roman" w:hAnsi="Times New Roman" w:eastAsia="方正仿宋_GBK" w:cs="Times New Roman"/>
          <w:sz w:val="32"/>
          <w:szCs w:val="32"/>
          <w:lang w:eastAsia="zh-CN"/>
        </w:rPr>
        <w:t>，规范有序推进政府和社会资本合作。</w:t>
      </w:r>
      <w:r>
        <w:rPr>
          <w:rFonts w:hint="default" w:ascii="Times New Roman" w:hAnsi="Times New Roman" w:eastAsia="方正仿宋_GBK" w:cs="Times New Roman"/>
          <w:sz w:val="32"/>
          <w:szCs w:val="32"/>
        </w:rPr>
        <w:t>做好资金筹集，把专项债争取作为项目建设的关键，争取更多发债额度支持高速公路等项目建设。</w:t>
      </w:r>
      <w:r>
        <w:rPr>
          <w:rFonts w:hint="default" w:ascii="Times New Roman" w:hAnsi="Times New Roman" w:eastAsia="方正仿宋_GBK" w:cs="Times New Roman"/>
          <w:sz w:val="32"/>
          <w:szCs w:val="32"/>
          <w:lang w:eastAsia="zh-CN"/>
        </w:rPr>
        <w:t>加强与银行等金融机构的协作，做好各类综合交通项目融资贷款。</w:t>
      </w:r>
      <w:r>
        <w:rPr>
          <w:rFonts w:hint="default" w:ascii="Times New Roman" w:hAnsi="Times New Roman" w:eastAsia="方正仿宋_GBK" w:cs="Times New Roman"/>
          <w:sz w:val="32"/>
          <w:szCs w:val="32"/>
        </w:rPr>
        <w:t>加强用地保障，督促项目业主加快办理用地手续，做好各类项目用地报批工作。做好征地拆迁工作，落实属地责任，加强工作组织和动员，压茬推进供地任务，加强施工用水用电保障。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简体" w:cs="Times New Roman"/>
          <w:color w:val="000000" w:themeColor="text1"/>
          <w:kern w:val="0"/>
          <w:szCs w:val="32"/>
          <w:lang w:eastAsia="zh-CN"/>
        </w:rPr>
      </w:pPr>
      <w:r>
        <w:rPr>
          <w:rFonts w:hint="default" w:ascii="方正楷体_GBK" w:hAnsi="方正楷体_GBK" w:eastAsia="方正楷体_GBK" w:cs="方正楷体_GBK"/>
          <w:sz w:val="32"/>
          <w:szCs w:val="32"/>
          <w:lang w:val="en-US" w:eastAsia="zh-CN"/>
        </w:rPr>
        <w:t>四是完善政策支撑。</w:t>
      </w:r>
      <w:r>
        <w:rPr>
          <w:rFonts w:hint="default" w:ascii="Times New Roman" w:hAnsi="Times New Roman" w:eastAsia="方正仿宋_GBK" w:cs="Times New Roman"/>
          <w:sz w:val="32"/>
          <w:szCs w:val="32"/>
          <w:lang w:eastAsia="zh-CN"/>
        </w:rPr>
        <w:t>将交通基础设施用地纳入各级国土空间规划中统筹考虑，做好与“三区三线”的充分衔接，在坚持资源节约和环境保护的前提下，做好重要通道和重大项目的空间预留，实现交通基础设施国土空间资源的提前储备、多方统筹、有效管控和高效利用。完善交通项目与周边土地综合开发、传统行业转型、新业态新模式发展、跨部门数据共享等方面的管理办法，激发市场活力。加强人才保障，加大对基层一线人才支持力度，提升行业人才培养交流力度。依托和广泛联系各相关领域专家、学者和精英人士，为楚雄交通发展建设智库，为有关重大决策研究出谋划策。</w:t>
      </w:r>
    </w:p>
    <w:p>
      <w:pPr>
        <w:pStyle w:val="2"/>
        <w:rPr>
          <w:rFonts w:hint="eastAsia" w:eastAsia="方正仿宋简体" w:cs="Times New Roman"/>
          <w:color w:val="000000" w:themeColor="text1"/>
          <w:kern w:val="0"/>
          <w:sz w:val="32"/>
          <w:szCs w:val="32"/>
          <w:lang w:eastAsia="zh-CN"/>
        </w:rPr>
        <w:sectPr>
          <w:footerReference r:id="rId3" w:type="default"/>
          <w:pgSz w:w="11906" w:h="16838"/>
          <w:pgMar w:top="1701" w:right="1417" w:bottom="1474" w:left="1417" w:header="851" w:footer="1304" w:gutter="0"/>
          <w:pgNumType w:fmt="decimal"/>
          <w:cols w:space="0" w:num="1"/>
          <w:rtlGutter w:val="0"/>
          <w:docGrid w:type="lines" w:linePitch="312" w:charSpace="0"/>
        </w:sectPr>
      </w:pPr>
    </w:p>
    <w:tbl>
      <w:tblPr>
        <w:tblStyle w:val="13"/>
        <w:tblpPr w:leftFromText="180" w:rightFromText="180" w:vertAnchor="text" w:horzAnchor="page" w:tblpX="1231" w:tblpY="877"/>
        <w:tblOverlap w:val="never"/>
        <w:tblW w:w="1003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360"/>
        <w:gridCol w:w="4253"/>
        <w:gridCol w:w="992"/>
        <w:gridCol w:w="992"/>
        <w:gridCol w:w="992"/>
        <w:gridCol w:w="992"/>
        <w:gridCol w:w="9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trPr>
        <w:tc>
          <w:tcPr>
            <w:tcW w:w="457"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领域</w:t>
            </w:r>
          </w:p>
        </w:tc>
        <w:tc>
          <w:tcPr>
            <w:tcW w:w="360"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类别</w:t>
            </w:r>
          </w:p>
        </w:tc>
        <w:tc>
          <w:tcPr>
            <w:tcW w:w="4253"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具体指标</w:t>
            </w:r>
          </w:p>
        </w:tc>
        <w:tc>
          <w:tcPr>
            <w:tcW w:w="992"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2020年</w:t>
            </w:r>
          </w:p>
        </w:tc>
        <w:tc>
          <w:tcPr>
            <w:tcW w:w="992"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2023年6月</w:t>
            </w:r>
          </w:p>
        </w:tc>
        <w:tc>
          <w:tcPr>
            <w:tcW w:w="992" w:type="dxa"/>
            <w:shd w:val="clear" w:color="auto" w:fill="auto"/>
            <w:vAlign w:val="center"/>
          </w:tcPr>
          <w:p>
            <w:pPr>
              <w:widowControl/>
              <w:spacing w:line="400" w:lineRule="exact"/>
              <w:jc w:val="center"/>
              <w:rPr>
                <w:rFonts w:ascii="Times New Roman" w:hAnsi="Times New Roman" w:eastAsia="方正仿宋简体" w:cs="宋体"/>
                <w:b/>
                <w:bCs/>
                <w:kern w:val="0"/>
                <w:sz w:val="24"/>
                <w:highlight w:val="none"/>
              </w:rPr>
            </w:pPr>
            <w:r>
              <w:rPr>
                <w:rFonts w:hint="eastAsia" w:ascii="Times New Roman" w:hAnsi="Times New Roman" w:eastAsia="方正仿宋简体" w:cs="宋体"/>
                <w:b/>
                <w:bCs/>
                <w:kern w:val="0"/>
                <w:sz w:val="24"/>
                <w:highlight w:val="none"/>
              </w:rPr>
              <w:t>2025年预期</w:t>
            </w:r>
          </w:p>
        </w:tc>
        <w:tc>
          <w:tcPr>
            <w:tcW w:w="992"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是否可完成目标</w:t>
            </w:r>
          </w:p>
        </w:tc>
        <w:tc>
          <w:tcPr>
            <w:tcW w:w="992" w:type="dxa"/>
            <w:shd w:val="clear" w:color="auto" w:fill="auto"/>
            <w:vAlign w:val="center"/>
          </w:tcPr>
          <w:p>
            <w:pPr>
              <w:widowControl/>
              <w:spacing w:line="400" w:lineRule="exact"/>
              <w:jc w:val="center"/>
              <w:rPr>
                <w:rFonts w:ascii="Times New Roman" w:hAnsi="Times New Roman" w:eastAsia="方正仿宋简体" w:cs="宋体"/>
                <w:b/>
                <w:bCs/>
                <w:kern w:val="0"/>
                <w:sz w:val="24"/>
              </w:rPr>
            </w:pPr>
            <w:r>
              <w:rPr>
                <w:rFonts w:hint="eastAsia" w:ascii="Times New Roman" w:hAnsi="Times New Roman" w:eastAsia="方正仿宋简体" w:cs="宋体"/>
                <w:b/>
                <w:bCs/>
                <w:kern w:val="0"/>
                <w:sz w:val="24"/>
              </w:rPr>
              <w:t>属性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trPr>
        <w:tc>
          <w:tcPr>
            <w:tcW w:w="457"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基础设施</w:t>
            </w: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设施规模</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铁路营运里程(公里)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602.55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602.55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800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否</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公路通车里程(万公里)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2.18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2.41</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2.5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高速公路通车里程(公里)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546.1</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773.4</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否</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水运航道里程(公里)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201.8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201.8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201.8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民用机场数量(个)</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等级结构</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铁路电气化率(%)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高铁和动车里程(公里)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265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265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465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否</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高铁和动车营运占比(%)</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45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45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60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否</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普通国道二级及以上占比(%)</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40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70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普通省道三级及以上占比(%)</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30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50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三级及以上航道里程(公里)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89.7</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1000吨以上港口生产性泊位(个)</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服务覆盖</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高速公路对县级节点覆盖率(%)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普通国省道县级节点覆盖率(%)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通三级公路的乡镇比例(%)</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41</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53.4</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ascii="Times New Roman" w:hAnsi="Times New Roman" w:eastAsia="方正仿宋简体" w:cs="宋体"/>
                <w:kern w:val="0"/>
                <w:sz w:val="24"/>
                <w:highlight w:val="none"/>
              </w:rPr>
              <w:t>70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30户以上自然村通畅率(%)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47</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63.12</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ascii="Times New Roman" w:hAnsi="Times New Roman" w:eastAsia="方正仿宋简体" w:cs="宋体"/>
                <w:kern w:val="0"/>
                <w:sz w:val="24"/>
                <w:highlight w:val="none"/>
              </w:rPr>
              <w:t>70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建制村通快递(%)</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457"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运输服务</w:t>
            </w: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运输能力</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高速公路优等路率(%)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pPr>
            <w:r>
              <w:rPr>
                <w:rFonts w:hint="eastAsia"/>
              </w:rPr>
              <w:t>95.39</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95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普通国省道优良路率(%)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64.5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78.48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85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农村公路优良中等路率(%)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57.5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86.59</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80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是</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货运量(万吨)</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3686</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4260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货物周转量(万吨公里)</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632890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773087</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转型发展</w:t>
            </w: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创新智能</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高速公路监控视频覆盖率达到</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95%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重点路段高清视频覆盖率达到</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普通国省道高精度二维电子地图覆盖</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绿色交通</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国省道废旧路面材料回收率(%)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高速公路废旧路面材料循环利用率(%)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普通国省道废旧路面材料循环利用率(%)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85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营运车船单位运输周转量二氧化碳(CO2)排放较2020年下降率(%)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6</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城市公交、出租车辆新能源比例(%)</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57.5</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70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restart"/>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安全应急</w:t>
            </w: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国省道较大以上等级道路运输行车事故死亡人数较2020年下降率(%)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40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高速公路重点路段、普通国省道重要节点运行实时监测数据接入率(%)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重点水域营运性船舶监测覆盖率(%)“两客一危”和重载货车北斗卫星</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60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导航系统安装率(%)</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100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预期性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重点库湖区应急达到时间(分钟)</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&lt;90</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受灾干线公路路段抢通平均时间(小时)</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&lt;12</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vMerge w:val="continue"/>
            <w:vAlign w:val="center"/>
          </w:tcPr>
          <w:p>
            <w:pPr>
              <w:widowControl/>
              <w:spacing w:line="400" w:lineRule="exact"/>
              <w:jc w:val="center"/>
              <w:rPr>
                <w:rFonts w:ascii="Times New Roman" w:hAnsi="Times New Roman" w:eastAsia="方正仿宋简体" w:cs="宋体"/>
                <w:kern w:val="0"/>
                <w:sz w:val="24"/>
              </w:rPr>
            </w:pPr>
          </w:p>
        </w:tc>
        <w:tc>
          <w:tcPr>
            <w:tcW w:w="360" w:type="dxa"/>
            <w:vMerge w:val="continue"/>
            <w:vAlign w:val="center"/>
          </w:tcPr>
          <w:p>
            <w:pPr>
              <w:widowControl/>
              <w:spacing w:line="400" w:lineRule="exact"/>
              <w:jc w:val="center"/>
              <w:rPr>
                <w:rFonts w:ascii="Times New Roman" w:hAnsi="Times New Roman" w:eastAsia="方正仿宋简体" w:cs="宋体"/>
                <w:kern w:val="0"/>
                <w:sz w:val="24"/>
              </w:rPr>
            </w:pPr>
          </w:p>
        </w:tc>
        <w:tc>
          <w:tcPr>
            <w:tcW w:w="4253"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自然灾害和事故灾害造成的航道破坏、堵塞修复抢通时间(小时)</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highlight w:val="none"/>
              </w:rPr>
            </w:pPr>
            <w:r>
              <w:rPr>
                <w:rFonts w:hint="eastAsia" w:ascii="Times New Roman" w:hAnsi="Times New Roman" w:eastAsia="方正仿宋简体" w:cs="宋体"/>
                <w:kern w:val="0"/>
                <w:sz w:val="24"/>
                <w:highlight w:val="none"/>
              </w:rPr>
              <w:t>&lt;48</w:t>
            </w: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p>
        </w:tc>
        <w:tc>
          <w:tcPr>
            <w:tcW w:w="992" w:type="dxa"/>
            <w:shd w:val="clear" w:color="auto" w:fill="auto"/>
            <w:vAlign w:val="center"/>
          </w:tcPr>
          <w:p>
            <w:pPr>
              <w:widowControl/>
              <w:spacing w:line="400" w:lineRule="exact"/>
              <w:jc w:val="center"/>
              <w:rPr>
                <w:rFonts w:ascii="Times New Roman" w:hAnsi="Times New Roman" w:eastAsia="方正仿宋简体" w:cs="宋体"/>
                <w:kern w:val="0"/>
                <w:sz w:val="24"/>
              </w:rPr>
            </w:pPr>
            <w:r>
              <w:rPr>
                <w:rFonts w:hint="eastAsia" w:ascii="Times New Roman" w:hAnsi="Times New Roman" w:eastAsia="方正仿宋简体" w:cs="宋体"/>
                <w:kern w:val="0"/>
                <w:sz w:val="24"/>
              </w:rPr>
              <w:t>约束性</w:t>
            </w:r>
          </w:p>
        </w:tc>
      </w:tr>
    </w:tbl>
    <w:p>
      <w:pPr>
        <w:pStyle w:val="2"/>
        <w:rPr>
          <w:rFonts w:hint="eastAsia" w:eastAsia="方正仿宋简体" w:cs="Times New Roman"/>
          <w:color w:val="000000" w:themeColor="text1"/>
          <w:kern w:val="0"/>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xNjk5ODdlM2RiMDc0YzMwN2QxZGIyNmM1Y2E3ZGUifQ=="/>
  </w:docVars>
  <w:rsids>
    <w:rsidRoot w:val="4AF901A7"/>
    <w:rsid w:val="00051AFD"/>
    <w:rsid w:val="00091515"/>
    <w:rsid w:val="001934BA"/>
    <w:rsid w:val="002C00B8"/>
    <w:rsid w:val="00304C72"/>
    <w:rsid w:val="003F40ED"/>
    <w:rsid w:val="00466A57"/>
    <w:rsid w:val="007048B6"/>
    <w:rsid w:val="00732078"/>
    <w:rsid w:val="00847173"/>
    <w:rsid w:val="009E0A71"/>
    <w:rsid w:val="00AB742B"/>
    <w:rsid w:val="00B354F8"/>
    <w:rsid w:val="00BD6015"/>
    <w:rsid w:val="00C01E24"/>
    <w:rsid w:val="00E31227"/>
    <w:rsid w:val="00E946F6"/>
    <w:rsid w:val="041B4CE2"/>
    <w:rsid w:val="056A30CA"/>
    <w:rsid w:val="05831153"/>
    <w:rsid w:val="07507E44"/>
    <w:rsid w:val="090D605F"/>
    <w:rsid w:val="099A3221"/>
    <w:rsid w:val="0A1F5B91"/>
    <w:rsid w:val="0B4F3EE7"/>
    <w:rsid w:val="0B9F0EFE"/>
    <w:rsid w:val="0BB35ADC"/>
    <w:rsid w:val="0C833088"/>
    <w:rsid w:val="0D630CC1"/>
    <w:rsid w:val="0F0317EA"/>
    <w:rsid w:val="11C4059E"/>
    <w:rsid w:val="1288068B"/>
    <w:rsid w:val="12B3318D"/>
    <w:rsid w:val="1572729B"/>
    <w:rsid w:val="160308E1"/>
    <w:rsid w:val="16884AD7"/>
    <w:rsid w:val="16A92624"/>
    <w:rsid w:val="18C228FD"/>
    <w:rsid w:val="1B49750F"/>
    <w:rsid w:val="1C304917"/>
    <w:rsid w:val="1D26483C"/>
    <w:rsid w:val="1D7E081B"/>
    <w:rsid w:val="20653E0D"/>
    <w:rsid w:val="218F4D90"/>
    <w:rsid w:val="21C80827"/>
    <w:rsid w:val="24741987"/>
    <w:rsid w:val="253512B0"/>
    <w:rsid w:val="260B671E"/>
    <w:rsid w:val="267548F3"/>
    <w:rsid w:val="28F14AE5"/>
    <w:rsid w:val="29957935"/>
    <w:rsid w:val="2AB22875"/>
    <w:rsid w:val="2D5037CD"/>
    <w:rsid w:val="2F8A018E"/>
    <w:rsid w:val="31F509F8"/>
    <w:rsid w:val="32907AE1"/>
    <w:rsid w:val="32F354AE"/>
    <w:rsid w:val="373E2C0B"/>
    <w:rsid w:val="38ED4933"/>
    <w:rsid w:val="399A23A7"/>
    <w:rsid w:val="3BA022ED"/>
    <w:rsid w:val="3C421FD1"/>
    <w:rsid w:val="3D494026"/>
    <w:rsid w:val="3DBE75AD"/>
    <w:rsid w:val="3E563696"/>
    <w:rsid w:val="410F5807"/>
    <w:rsid w:val="412F27A5"/>
    <w:rsid w:val="41D51F02"/>
    <w:rsid w:val="426F33EB"/>
    <w:rsid w:val="42B82341"/>
    <w:rsid w:val="440C0BF2"/>
    <w:rsid w:val="44E66F1A"/>
    <w:rsid w:val="46172E3A"/>
    <w:rsid w:val="46B844C7"/>
    <w:rsid w:val="46E244EE"/>
    <w:rsid w:val="4AF901A7"/>
    <w:rsid w:val="4B7B0D3A"/>
    <w:rsid w:val="4BF83B5B"/>
    <w:rsid w:val="4C0609CE"/>
    <w:rsid w:val="4C340BEC"/>
    <w:rsid w:val="4D605D68"/>
    <w:rsid w:val="4E9C4B92"/>
    <w:rsid w:val="4EB220E4"/>
    <w:rsid w:val="51924211"/>
    <w:rsid w:val="519E6B33"/>
    <w:rsid w:val="52BB4961"/>
    <w:rsid w:val="54AF2E31"/>
    <w:rsid w:val="54B21FAB"/>
    <w:rsid w:val="559F0833"/>
    <w:rsid w:val="590676A2"/>
    <w:rsid w:val="5A13444F"/>
    <w:rsid w:val="5A8608DA"/>
    <w:rsid w:val="5B3B503C"/>
    <w:rsid w:val="5D000F87"/>
    <w:rsid w:val="5D464333"/>
    <w:rsid w:val="5E3470C4"/>
    <w:rsid w:val="5F561F9D"/>
    <w:rsid w:val="608D1226"/>
    <w:rsid w:val="620E4151"/>
    <w:rsid w:val="629E72BB"/>
    <w:rsid w:val="658D5880"/>
    <w:rsid w:val="67E238FE"/>
    <w:rsid w:val="6AC1215B"/>
    <w:rsid w:val="6BBB0BC0"/>
    <w:rsid w:val="6C923C4D"/>
    <w:rsid w:val="6E651E15"/>
    <w:rsid w:val="72F5065A"/>
    <w:rsid w:val="769D7D2F"/>
    <w:rsid w:val="77BA37D1"/>
    <w:rsid w:val="78CC0345"/>
    <w:rsid w:val="7A434D21"/>
    <w:rsid w:val="7A86710C"/>
    <w:rsid w:val="7C885642"/>
    <w:rsid w:val="7CDE33C7"/>
    <w:rsid w:val="7CF63D7C"/>
    <w:rsid w:val="7D222BDB"/>
    <w:rsid w:val="7D357145"/>
    <w:rsid w:val="7D3633AE"/>
    <w:rsid w:val="7DB7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tabs>
        <w:tab w:val="left" w:pos="576"/>
        <w:tab w:val="left" w:pos="716"/>
      </w:tabs>
      <w:spacing w:before="120" w:after="120" w:line="360" w:lineRule="auto"/>
      <w:jc w:val="center"/>
      <w:outlineLvl w:val="1"/>
    </w:pPr>
    <w:rPr>
      <w:rFonts w:ascii="黑体" w:eastAsia="黑体"/>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4">
    <w:name w:val="Body Text"/>
    <w:basedOn w:val="1"/>
    <w:next w:val="5"/>
    <w:qFormat/>
    <w:uiPriority w:val="0"/>
  </w:style>
  <w:style w:type="paragraph" w:styleId="5">
    <w:name w:val="toc 5"/>
    <w:basedOn w:val="1"/>
    <w:next w:val="1"/>
    <w:semiHidden/>
    <w:qFormat/>
    <w:uiPriority w:val="0"/>
    <w:pPr>
      <w:ind w:left="1680" w:leftChars="800"/>
    </w:pPr>
  </w:style>
  <w:style w:type="paragraph" w:styleId="6">
    <w:name w:val="Body Text Indent"/>
    <w:basedOn w:val="1"/>
    <w:uiPriority w:val="0"/>
    <w:pPr>
      <w:ind w:left="420" w:leftChars="2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ind w:firstLine="420" w:firstLineChars="100"/>
    </w:pPr>
  </w:style>
  <w:style w:type="paragraph" w:customStyle="1" w:styleId="11">
    <w:name w:val="_Style 3"/>
    <w:next w:val="1"/>
    <w:qFormat/>
    <w:uiPriority w:val="99"/>
    <w:pPr>
      <w:wordWrap w:val="0"/>
    </w:pPr>
    <w:rPr>
      <w:rFonts w:ascii="Times New Roman" w:hAnsi="Times New Roman" w:eastAsia="宋体" w:cs="Times New Roman"/>
      <w:sz w:val="32"/>
      <w:szCs w:val="22"/>
      <w:lang w:val="en-US" w:eastAsia="zh-CN" w:bidi="ar-SA"/>
    </w:rPr>
  </w:style>
  <w:style w:type="paragraph" w:styleId="12">
    <w:name w:val="Body Text First Indent 2"/>
    <w:basedOn w:val="6"/>
    <w:qFormat/>
    <w:uiPriority w:val="0"/>
    <w:pPr>
      <w:ind w:firstLine="420" w:firstLineChars="200"/>
    </w:pPr>
    <w:rPr>
      <w:rFonts w:ascii="Calibri" w:hAnsi="Calibri"/>
    </w:rPr>
  </w:style>
  <w:style w:type="character" w:styleId="15">
    <w:name w:val="Strong"/>
    <w:basedOn w:val="14"/>
    <w:qFormat/>
    <w:uiPriority w:val="0"/>
    <w:rPr>
      <w:b/>
    </w:rPr>
  </w:style>
  <w:style w:type="character" w:customStyle="1" w:styleId="16">
    <w:name w:val="页眉 Char"/>
    <w:basedOn w:val="14"/>
    <w:link w:val="8"/>
    <w:qFormat/>
    <w:uiPriority w:val="0"/>
    <w:rPr>
      <w:rFonts w:asciiTheme="minorHAnsi" w:hAnsiTheme="minorHAnsi" w:eastAsiaTheme="minorEastAsia" w:cstheme="minorBidi"/>
      <w:kern w:val="2"/>
      <w:sz w:val="18"/>
      <w:szCs w:val="18"/>
    </w:rPr>
  </w:style>
  <w:style w:type="character" w:customStyle="1" w:styleId="17">
    <w:name w:val="页脚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11669</Words>
  <Characters>12533</Characters>
  <Lines>10</Lines>
  <Paragraphs>21</Paragraphs>
  <TotalTime>18</TotalTime>
  <ScaleCrop>false</ScaleCrop>
  <LinksUpToDate>false</LinksUpToDate>
  <CharactersWithSpaces>12541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2023-07-30T07:54:00Z</dcterms:created>
  <dc:creator>里外不是人</dc:creator>
  <cp:lastModifiedBy>Administrator</cp:lastModifiedBy>
  <cp:lastPrinted>2023-09-04T01:04:00Z</cp:lastPrinted>
  <dcterms:modified xsi:type="dcterms:W3CDTF">2023-11-10T11:36:19Z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A927F3E4F677438892A1F48D1F039CE9_11</vt:lpwstr>
  </property>
</Properties>
</file>